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27BEC" w14:textId="77777777" w:rsidR="00C45BE8" w:rsidRDefault="00C45BE8" w:rsidP="00855748">
      <w:bookmarkStart w:id="0" w:name="_GoBack"/>
      <w:bookmarkEnd w:id="0"/>
    </w:p>
    <w:p w14:paraId="14596892" w14:textId="77777777" w:rsidR="00133E7D" w:rsidRDefault="00133E7D" w:rsidP="00133E7D">
      <w:pPr>
        <w:pStyle w:val="Title"/>
        <w:rPr>
          <w:b/>
          <w:color w:val="4472C4" w:themeColor="accent5"/>
        </w:rPr>
      </w:pPr>
    </w:p>
    <w:p w14:paraId="13A71D82" w14:textId="42CC4F0A" w:rsidR="00B87539" w:rsidRPr="004B36C4" w:rsidRDefault="00B87539" w:rsidP="00133E7D">
      <w:pPr>
        <w:pStyle w:val="Title"/>
        <w:ind w:left="720" w:firstLine="720"/>
        <w:rPr>
          <w:rFonts w:asciiTheme="minorHAnsi" w:hAnsiTheme="minorHAnsi"/>
          <w:b/>
          <w:color w:val="44546A" w:themeColor="text2"/>
          <w:sz w:val="32"/>
          <w:szCs w:val="32"/>
        </w:rPr>
      </w:pPr>
      <w:r w:rsidRPr="004B36C4">
        <w:rPr>
          <w:b/>
          <w:color w:val="44546A" w:themeColor="text2"/>
          <w:sz w:val="32"/>
          <w:szCs w:val="32"/>
        </w:rPr>
        <w:t>21</w:t>
      </w:r>
      <w:r w:rsidRPr="004B36C4">
        <w:rPr>
          <w:b/>
          <w:color w:val="44546A" w:themeColor="text2"/>
          <w:sz w:val="32"/>
          <w:szCs w:val="32"/>
          <w:vertAlign w:val="superscript"/>
        </w:rPr>
        <w:t>st</w:t>
      </w:r>
      <w:r w:rsidRPr="004B36C4">
        <w:rPr>
          <w:b/>
          <w:color w:val="44546A" w:themeColor="text2"/>
          <w:sz w:val="32"/>
          <w:szCs w:val="32"/>
        </w:rPr>
        <w:t xml:space="preserve"> CCLC Statewide Evaluation </w:t>
      </w:r>
      <w:r w:rsidR="00853C13">
        <w:rPr>
          <w:b/>
          <w:color w:val="44546A" w:themeColor="text2"/>
          <w:sz w:val="32"/>
          <w:szCs w:val="32"/>
        </w:rPr>
        <w:t xml:space="preserve">Academic </w:t>
      </w:r>
      <w:r w:rsidRPr="004B36C4">
        <w:rPr>
          <w:b/>
          <w:color w:val="44546A" w:themeColor="text2"/>
          <w:sz w:val="32"/>
          <w:szCs w:val="32"/>
        </w:rPr>
        <w:t>Highlights</w:t>
      </w:r>
    </w:p>
    <w:p w14:paraId="0D23B934" w14:textId="77777777" w:rsidR="00B87539" w:rsidRDefault="00B87539" w:rsidP="00B87539">
      <w:pPr>
        <w:spacing w:after="120"/>
        <w:rPr>
          <w:szCs w:val="24"/>
        </w:rPr>
      </w:pPr>
    </w:p>
    <w:p w14:paraId="0707056F" w14:textId="77777777" w:rsidR="004B36C4" w:rsidRDefault="00B87539" w:rsidP="00A460E5">
      <w:pPr>
        <w:spacing w:before="120" w:after="120"/>
        <w:rPr>
          <w:rFonts w:asciiTheme="minorHAnsi" w:hAnsiTheme="minorHAnsi"/>
          <w:i/>
        </w:rPr>
      </w:pPr>
      <w:r w:rsidRPr="00A460E5">
        <w:rPr>
          <w:rFonts w:asciiTheme="minorHAnsi" w:hAnsiTheme="minorHAnsi"/>
          <w:i/>
        </w:rPr>
        <w:t xml:space="preserve">Afterschool and summer programs </w:t>
      </w:r>
      <w:r w:rsidR="00A460E5" w:rsidRPr="00A460E5">
        <w:rPr>
          <w:rFonts w:asciiTheme="minorHAnsi" w:hAnsiTheme="minorHAnsi"/>
          <w:i/>
        </w:rPr>
        <w:t xml:space="preserve">are </w:t>
      </w:r>
      <w:r w:rsidR="00A460E5" w:rsidRPr="00A460E5">
        <w:rPr>
          <w:bCs/>
          <w:i/>
          <w:color w:val="000000"/>
        </w:rPr>
        <w:t>locally-based school and community solutions</w:t>
      </w:r>
      <w:r w:rsidR="00A460E5" w:rsidRPr="00A460E5">
        <w:rPr>
          <w:color w:val="000000"/>
        </w:rPr>
        <w:t xml:space="preserve"> </w:t>
      </w:r>
      <w:r w:rsidR="00A460E5" w:rsidRPr="004B36C4">
        <w:rPr>
          <w:i/>
          <w:color w:val="000000"/>
        </w:rPr>
        <w:t>that keep children and</w:t>
      </w:r>
      <w:r w:rsidR="00A460E5" w:rsidRPr="00A460E5">
        <w:rPr>
          <w:color w:val="000000"/>
        </w:rPr>
        <w:t xml:space="preserve"> </w:t>
      </w:r>
      <w:r w:rsidR="00A460E5" w:rsidRPr="00A460E5">
        <w:rPr>
          <w:i/>
          <w:color w:val="000000"/>
        </w:rPr>
        <w:t>teenagers safe, inspire young people to learn, and support working families.</w:t>
      </w:r>
      <w:r w:rsidR="00A460E5" w:rsidRPr="00A460E5">
        <w:rPr>
          <w:color w:val="000000"/>
        </w:rPr>
        <w:t xml:space="preserve"> </w:t>
      </w:r>
      <w:r w:rsidRPr="00A460E5">
        <w:rPr>
          <w:rFonts w:asciiTheme="minorHAnsi" w:hAnsiTheme="minorHAnsi"/>
          <w:i/>
        </w:rPr>
        <w:t xml:space="preserve">Programs </w:t>
      </w:r>
      <w:r w:rsidR="00A460E5">
        <w:rPr>
          <w:rFonts w:asciiTheme="minorHAnsi" w:hAnsiTheme="minorHAnsi"/>
          <w:i/>
        </w:rPr>
        <w:t xml:space="preserve">not only </w:t>
      </w:r>
      <w:r w:rsidRPr="00A460E5">
        <w:rPr>
          <w:rFonts w:asciiTheme="minorHAnsi" w:hAnsiTheme="minorHAnsi"/>
          <w:i/>
        </w:rPr>
        <w:t xml:space="preserve">provide </w:t>
      </w:r>
      <w:r w:rsidR="00A460E5" w:rsidRPr="00A460E5">
        <w:rPr>
          <w:rFonts w:asciiTheme="minorHAnsi" w:hAnsiTheme="minorHAnsi"/>
          <w:i/>
        </w:rPr>
        <w:t>hands-on learning</w:t>
      </w:r>
      <w:r w:rsidR="00A460E5">
        <w:rPr>
          <w:rFonts w:asciiTheme="minorHAnsi" w:hAnsiTheme="minorHAnsi"/>
          <w:i/>
        </w:rPr>
        <w:t>,</w:t>
      </w:r>
      <w:r w:rsidR="00A460E5" w:rsidRPr="00A460E5">
        <w:rPr>
          <w:rFonts w:asciiTheme="minorHAnsi" w:hAnsiTheme="minorHAnsi"/>
          <w:i/>
        </w:rPr>
        <w:t xml:space="preserve"> workforce development, </w:t>
      </w:r>
      <w:r w:rsidR="00A460E5">
        <w:rPr>
          <w:rFonts w:asciiTheme="minorHAnsi" w:hAnsiTheme="minorHAnsi"/>
          <w:i/>
        </w:rPr>
        <w:t xml:space="preserve">and </w:t>
      </w:r>
      <w:r w:rsidR="00A460E5" w:rsidRPr="00A460E5">
        <w:rPr>
          <w:rFonts w:asciiTheme="minorHAnsi" w:hAnsiTheme="minorHAnsi"/>
          <w:i/>
        </w:rPr>
        <w:t>STEM</w:t>
      </w:r>
      <w:r w:rsidR="00822689">
        <w:rPr>
          <w:rFonts w:asciiTheme="minorHAnsi" w:hAnsiTheme="minorHAnsi"/>
          <w:i/>
        </w:rPr>
        <w:t xml:space="preserve"> learning opportunities</w:t>
      </w:r>
      <w:r w:rsidR="00A460E5">
        <w:rPr>
          <w:rFonts w:asciiTheme="minorHAnsi" w:hAnsiTheme="minorHAnsi"/>
          <w:i/>
        </w:rPr>
        <w:t xml:space="preserve">, </w:t>
      </w:r>
      <w:r w:rsidR="00822689">
        <w:rPr>
          <w:rFonts w:asciiTheme="minorHAnsi" w:hAnsiTheme="minorHAnsi"/>
          <w:i/>
        </w:rPr>
        <w:t>they also</w:t>
      </w:r>
      <w:r w:rsidR="00A460E5">
        <w:rPr>
          <w:rFonts w:asciiTheme="minorHAnsi" w:hAnsiTheme="minorHAnsi"/>
          <w:i/>
        </w:rPr>
        <w:t xml:space="preserve"> provide</w:t>
      </w:r>
      <w:r w:rsidR="00A460E5" w:rsidRPr="00A460E5">
        <w:rPr>
          <w:rFonts w:asciiTheme="minorHAnsi" w:hAnsiTheme="minorHAnsi"/>
          <w:i/>
        </w:rPr>
        <w:t xml:space="preserve"> </w:t>
      </w:r>
      <w:r w:rsidRPr="00A460E5">
        <w:rPr>
          <w:rFonts w:asciiTheme="minorHAnsi" w:hAnsiTheme="minorHAnsi"/>
          <w:i/>
        </w:rPr>
        <w:t>nutritious snacks and meals</w:t>
      </w:r>
      <w:r w:rsidR="00E07429">
        <w:rPr>
          <w:rFonts w:asciiTheme="minorHAnsi" w:hAnsiTheme="minorHAnsi"/>
          <w:i/>
        </w:rPr>
        <w:t>;</w:t>
      </w:r>
      <w:r w:rsidRPr="00A460E5">
        <w:rPr>
          <w:rFonts w:asciiTheme="minorHAnsi" w:hAnsiTheme="minorHAnsi"/>
          <w:i/>
        </w:rPr>
        <w:t xml:space="preserve"> </w:t>
      </w:r>
      <w:r w:rsidR="00A460E5" w:rsidRPr="00A460E5">
        <w:rPr>
          <w:rFonts w:asciiTheme="minorHAnsi" w:hAnsiTheme="minorHAnsi"/>
          <w:i/>
        </w:rPr>
        <w:t>physical activity</w:t>
      </w:r>
      <w:r w:rsidR="00E07429">
        <w:rPr>
          <w:rFonts w:asciiTheme="minorHAnsi" w:hAnsiTheme="minorHAnsi"/>
          <w:i/>
        </w:rPr>
        <w:t>;</w:t>
      </w:r>
      <w:r w:rsidRPr="00A460E5">
        <w:rPr>
          <w:rFonts w:asciiTheme="minorHAnsi" w:hAnsiTheme="minorHAnsi"/>
          <w:i/>
        </w:rPr>
        <w:t xml:space="preserve"> and opportunities to build self-confidence, leadership skills</w:t>
      </w:r>
      <w:r w:rsidR="00A460E5">
        <w:rPr>
          <w:rFonts w:asciiTheme="minorHAnsi" w:hAnsiTheme="minorHAnsi"/>
          <w:i/>
        </w:rPr>
        <w:t>,</w:t>
      </w:r>
      <w:r w:rsidRPr="00A460E5">
        <w:rPr>
          <w:rFonts w:asciiTheme="minorHAnsi" w:hAnsiTheme="minorHAnsi"/>
          <w:i/>
        </w:rPr>
        <w:t xml:space="preserve"> and connections with </w:t>
      </w:r>
      <w:r w:rsidR="00A460E5">
        <w:rPr>
          <w:rFonts w:asciiTheme="minorHAnsi" w:hAnsiTheme="minorHAnsi"/>
          <w:i/>
        </w:rPr>
        <w:t xml:space="preserve">supportive </w:t>
      </w:r>
      <w:r w:rsidRPr="00A460E5">
        <w:rPr>
          <w:rFonts w:asciiTheme="minorHAnsi" w:hAnsiTheme="minorHAnsi"/>
          <w:i/>
        </w:rPr>
        <w:t>adults. Moreover, these programs support school</w:t>
      </w:r>
      <w:r w:rsidR="00993CB0">
        <w:rPr>
          <w:rFonts w:asciiTheme="minorHAnsi" w:hAnsiTheme="minorHAnsi"/>
          <w:i/>
        </w:rPr>
        <w:t>-</w:t>
      </w:r>
      <w:r w:rsidRPr="00A460E5">
        <w:rPr>
          <w:rFonts w:asciiTheme="minorHAnsi" w:hAnsiTheme="minorHAnsi"/>
          <w:i/>
        </w:rPr>
        <w:t xml:space="preserve">day learning and </w:t>
      </w:r>
      <w:r w:rsidR="00822689">
        <w:rPr>
          <w:rFonts w:asciiTheme="minorHAnsi" w:hAnsiTheme="minorHAnsi"/>
          <w:i/>
        </w:rPr>
        <w:t>encourage</w:t>
      </w:r>
      <w:r w:rsidR="00822689" w:rsidRPr="00A460E5">
        <w:rPr>
          <w:rFonts w:asciiTheme="minorHAnsi" w:hAnsiTheme="minorHAnsi"/>
          <w:i/>
        </w:rPr>
        <w:t xml:space="preserve"> </w:t>
      </w:r>
      <w:r w:rsidRPr="00A460E5">
        <w:rPr>
          <w:rFonts w:asciiTheme="minorHAnsi" w:hAnsiTheme="minorHAnsi"/>
          <w:i/>
        </w:rPr>
        <w:t xml:space="preserve">academic improvement </w:t>
      </w:r>
      <w:r w:rsidR="00822689">
        <w:rPr>
          <w:rFonts w:asciiTheme="minorHAnsi" w:hAnsiTheme="minorHAnsi"/>
          <w:i/>
        </w:rPr>
        <w:t>as measured by</w:t>
      </w:r>
      <w:r w:rsidRPr="00A460E5">
        <w:rPr>
          <w:rFonts w:asciiTheme="minorHAnsi" w:hAnsiTheme="minorHAnsi"/>
          <w:i/>
        </w:rPr>
        <w:t xml:space="preserve"> test scores, graduation rates, and grade promotion. </w:t>
      </w:r>
    </w:p>
    <w:p w14:paraId="2E84C37A" w14:textId="7C6C3CFE" w:rsidR="00B87539" w:rsidRPr="00A460E5" w:rsidRDefault="00133E7D" w:rsidP="00A460E5">
      <w:pPr>
        <w:spacing w:before="120" w:after="120"/>
        <w:rPr>
          <w:rFonts w:asciiTheme="minorHAnsi" w:hAnsiTheme="minorHAnsi"/>
          <w:i/>
        </w:rPr>
      </w:pPr>
      <w:r>
        <w:rPr>
          <w:rFonts w:asciiTheme="minorHAnsi" w:hAnsiTheme="minorHAnsi"/>
          <w:i/>
        </w:rPr>
        <w:t>Below is a sampling of a</w:t>
      </w:r>
      <w:r w:rsidR="004B36C4">
        <w:rPr>
          <w:rFonts w:asciiTheme="minorHAnsi" w:hAnsiTheme="minorHAnsi"/>
          <w:i/>
        </w:rPr>
        <w:t>cademic outcomes</w:t>
      </w:r>
      <w:r w:rsidR="00A460E5" w:rsidRPr="00A460E5">
        <w:rPr>
          <w:rFonts w:asciiTheme="minorHAnsi" w:hAnsiTheme="minorHAnsi"/>
          <w:i/>
        </w:rPr>
        <w:t xml:space="preserve"> from </w:t>
      </w:r>
      <w:r w:rsidR="002073E0">
        <w:rPr>
          <w:rFonts w:asciiTheme="minorHAnsi" w:hAnsiTheme="minorHAnsi"/>
          <w:i/>
        </w:rPr>
        <w:t xml:space="preserve">statewide </w:t>
      </w:r>
      <w:r w:rsidR="00A460E5" w:rsidRPr="00A460E5">
        <w:rPr>
          <w:rFonts w:asciiTheme="minorHAnsi" w:hAnsiTheme="minorHAnsi"/>
          <w:i/>
        </w:rPr>
        <w:t>evaluation s</w:t>
      </w:r>
      <w:r w:rsidR="00B87539" w:rsidRPr="00A460E5">
        <w:rPr>
          <w:rFonts w:asciiTheme="minorHAnsi" w:hAnsiTheme="minorHAnsi"/>
          <w:i/>
        </w:rPr>
        <w:t>tudies of the federally</w:t>
      </w:r>
      <w:r w:rsidR="00822689">
        <w:rPr>
          <w:rFonts w:asciiTheme="minorHAnsi" w:hAnsiTheme="minorHAnsi"/>
          <w:i/>
        </w:rPr>
        <w:t>-</w:t>
      </w:r>
      <w:r w:rsidR="00B87539" w:rsidRPr="00A460E5">
        <w:rPr>
          <w:rFonts w:asciiTheme="minorHAnsi" w:hAnsiTheme="minorHAnsi"/>
          <w:i/>
        </w:rPr>
        <w:t>funded 21</w:t>
      </w:r>
      <w:r w:rsidR="00B87539" w:rsidRPr="00A460E5">
        <w:rPr>
          <w:rFonts w:asciiTheme="minorHAnsi" w:hAnsiTheme="minorHAnsi"/>
          <w:i/>
          <w:vertAlign w:val="superscript"/>
        </w:rPr>
        <w:t>st</w:t>
      </w:r>
      <w:r w:rsidR="00B87539" w:rsidRPr="00A460E5">
        <w:rPr>
          <w:rFonts w:asciiTheme="minorHAnsi" w:hAnsiTheme="minorHAnsi"/>
          <w:i/>
        </w:rPr>
        <w:t xml:space="preserve"> Century Comm</w:t>
      </w:r>
      <w:r w:rsidR="00A460E5" w:rsidRPr="00A460E5">
        <w:rPr>
          <w:rFonts w:asciiTheme="minorHAnsi" w:hAnsiTheme="minorHAnsi"/>
          <w:i/>
        </w:rPr>
        <w:t>unity Learning Centers Programs</w:t>
      </w:r>
      <w:r>
        <w:rPr>
          <w:rFonts w:asciiTheme="minorHAnsi" w:hAnsiTheme="minorHAnsi"/>
          <w:i/>
        </w:rPr>
        <w:t xml:space="preserve"> (information on school day attendance and behavior impacts are also available):</w:t>
      </w:r>
    </w:p>
    <w:p w14:paraId="1AB6B62C" w14:textId="47B30DC2" w:rsidR="00B87539" w:rsidRPr="004B36C4" w:rsidRDefault="004B36C4" w:rsidP="004B36C4">
      <w:pPr>
        <w:spacing w:before="120" w:after="120"/>
        <w:rPr>
          <w:rFonts w:asciiTheme="minorHAnsi" w:hAnsiTheme="minorHAnsi"/>
        </w:rPr>
      </w:pPr>
      <w:r w:rsidRPr="004B36C4">
        <w:rPr>
          <w:rFonts w:asciiTheme="minorHAnsi" w:hAnsiTheme="minorHAnsi"/>
          <w:b/>
          <w:u w:val="single"/>
        </w:rPr>
        <w:t>TEXAS:</w:t>
      </w:r>
      <w:r w:rsidRPr="004B36C4">
        <w:rPr>
          <w:rFonts w:asciiTheme="minorHAnsi" w:hAnsiTheme="minorHAnsi"/>
        </w:rPr>
        <w:t xml:space="preserve"> </w:t>
      </w:r>
      <w:r w:rsidR="00B87539" w:rsidRPr="004B36C4">
        <w:rPr>
          <w:rFonts w:asciiTheme="minorHAnsi" w:hAnsiTheme="minorHAnsi"/>
        </w:rPr>
        <w:t>A 2016 evaluation of Texas 21</w:t>
      </w:r>
      <w:r w:rsidR="00B87539" w:rsidRPr="004B36C4">
        <w:rPr>
          <w:rFonts w:asciiTheme="minorHAnsi" w:hAnsiTheme="minorHAnsi"/>
          <w:vertAlign w:val="superscript"/>
        </w:rPr>
        <w:t>st</w:t>
      </w:r>
      <w:r w:rsidR="00B87539" w:rsidRPr="004B36C4">
        <w:rPr>
          <w:rFonts w:asciiTheme="minorHAnsi" w:hAnsiTheme="minorHAnsi"/>
        </w:rPr>
        <w:t xml:space="preserve"> Century Community Learning Centers, known as the Afterschool Centers on Education (ACE), found that the program positively impacted students’ school</w:t>
      </w:r>
      <w:r w:rsidR="00993CB0" w:rsidRPr="004B36C4">
        <w:rPr>
          <w:rFonts w:asciiTheme="minorHAnsi" w:hAnsiTheme="minorHAnsi"/>
        </w:rPr>
        <w:t>-</w:t>
      </w:r>
      <w:r w:rsidR="00B87539" w:rsidRPr="004B36C4">
        <w:rPr>
          <w:rFonts w:asciiTheme="minorHAnsi" w:hAnsiTheme="minorHAnsi"/>
        </w:rPr>
        <w:t>day performance. Students with high levels of attendance in the program saw gains in their math performance, improved their school</w:t>
      </w:r>
      <w:r w:rsidR="00993CB0" w:rsidRPr="004B36C4">
        <w:rPr>
          <w:rFonts w:asciiTheme="minorHAnsi" w:hAnsiTheme="minorHAnsi"/>
        </w:rPr>
        <w:t>-</w:t>
      </w:r>
      <w:r w:rsidR="00B87539" w:rsidRPr="004B36C4">
        <w:rPr>
          <w:rFonts w:asciiTheme="minorHAnsi" w:hAnsiTheme="minorHAnsi"/>
        </w:rPr>
        <w:t xml:space="preserve">day attendance, and saw a decrease in school-day disciplinary incidents. These findings </w:t>
      </w:r>
      <w:r w:rsidR="00E07429" w:rsidRPr="004B36C4">
        <w:rPr>
          <w:rFonts w:asciiTheme="minorHAnsi" w:hAnsiTheme="minorHAnsi"/>
        </w:rPr>
        <w:t>are consistent with previous</w:t>
      </w:r>
      <w:r w:rsidR="00B87539" w:rsidRPr="004B36C4">
        <w:rPr>
          <w:rFonts w:asciiTheme="minorHAnsi" w:hAnsiTheme="minorHAnsi"/>
        </w:rPr>
        <w:t xml:space="preserve"> positive outcomes associated with </w:t>
      </w:r>
      <w:r w:rsidR="00E07429" w:rsidRPr="004B36C4">
        <w:rPr>
          <w:rFonts w:asciiTheme="minorHAnsi" w:hAnsiTheme="minorHAnsi"/>
        </w:rPr>
        <w:t>the</w:t>
      </w:r>
      <w:r w:rsidR="00B87539" w:rsidRPr="004B36C4">
        <w:rPr>
          <w:rFonts w:asciiTheme="minorHAnsi" w:hAnsiTheme="minorHAnsi"/>
        </w:rPr>
        <w:t xml:space="preserve"> program. For example, a 2013 evaluation found that students attending the program</w:t>
      </w:r>
      <w:r w:rsidR="00A460E5" w:rsidRPr="004B36C4">
        <w:rPr>
          <w:rFonts w:asciiTheme="minorHAnsi" w:hAnsiTheme="minorHAnsi"/>
        </w:rPr>
        <w:t xml:space="preserve"> </w:t>
      </w:r>
      <w:r w:rsidR="00B87539" w:rsidRPr="004B36C4">
        <w:rPr>
          <w:rFonts w:asciiTheme="minorHAnsi" w:hAnsiTheme="minorHAnsi"/>
        </w:rPr>
        <w:t xml:space="preserve">were more likely to be promoted to the next grade. For high school students, participation in an ACE program increased the likelihood of </w:t>
      </w:r>
      <w:r w:rsidR="00A460E5" w:rsidRPr="004B36C4">
        <w:rPr>
          <w:rFonts w:asciiTheme="minorHAnsi" w:hAnsiTheme="minorHAnsi"/>
        </w:rPr>
        <w:t>grade promotion</w:t>
      </w:r>
      <w:r w:rsidR="00B87539" w:rsidRPr="004B36C4">
        <w:rPr>
          <w:rFonts w:asciiTheme="minorHAnsi" w:hAnsiTheme="minorHAnsi"/>
        </w:rPr>
        <w:t xml:space="preserve"> by 79</w:t>
      </w:r>
      <w:r w:rsidR="00E07429" w:rsidRPr="004B36C4">
        <w:rPr>
          <w:rFonts w:asciiTheme="minorHAnsi" w:hAnsiTheme="minorHAnsi"/>
        </w:rPr>
        <w:t xml:space="preserve"> percent for low-attending students and 97 percent for students with high levels of attendance. The report stated that </w:t>
      </w:r>
      <w:r w:rsidR="00B87539" w:rsidRPr="004B36C4">
        <w:rPr>
          <w:rFonts w:asciiTheme="minorHAnsi" w:hAnsiTheme="minorHAnsi"/>
        </w:rPr>
        <w:t>“the magnitude of this effect size is large</w:t>
      </w:r>
      <w:r w:rsidR="00E07429" w:rsidRPr="004B36C4">
        <w:rPr>
          <w:rFonts w:asciiTheme="minorHAnsi" w:hAnsiTheme="minorHAnsi"/>
        </w:rPr>
        <w:t>.</w:t>
      </w:r>
      <w:r w:rsidR="00B87539" w:rsidRPr="004B36C4">
        <w:rPr>
          <w:rFonts w:asciiTheme="minorHAnsi" w:hAnsiTheme="minorHAnsi"/>
        </w:rPr>
        <w:t xml:space="preserve">” ACE students </w:t>
      </w:r>
      <w:r w:rsidR="00E07429" w:rsidRPr="004B36C4">
        <w:rPr>
          <w:rFonts w:asciiTheme="minorHAnsi" w:hAnsiTheme="minorHAnsi"/>
        </w:rPr>
        <w:t xml:space="preserve">also </w:t>
      </w:r>
      <w:r w:rsidR="00B87539" w:rsidRPr="004B36C4">
        <w:rPr>
          <w:rFonts w:asciiTheme="minorHAnsi" w:hAnsiTheme="minorHAnsi"/>
        </w:rPr>
        <w:t>saw improvements in their Texas Assessment of Knowledge and Skills (TAKS) reading and math scores</w:t>
      </w:r>
      <w:r w:rsidR="00E07429" w:rsidRPr="004B36C4">
        <w:rPr>
          <w:rFonts w:asciiTheme="minorHAnsi" w:hAnsiTheme="minorHAnsi"/>
        </w:rPr>
        <w:t xml:space="preserve"> and </w:t>
      </w:r>
      <w:r w:rsidR="00993CB0" w:rsidRPr="004B36C4">
        <w:rPr>
          <w:rFonts w:asciiTheme="minorHAnsi" w:hAnsiTheme="minorHAnsi"/>
        </w:rPr>
        <w:t xml:space="preserve">their </w:t>
      </w:r>
      <w:r w:rsidR="00B87539" w:rsidRPr="004B36C4">
        <w:rPr>
          <w:rFonts w:asciiTheme="minorHAnsi" w:hAnsiTheme="minorHAnsi"/>
        </w:rPr>
        <w:t>school</w:t>
      </w:r>
      <w:r w:rsidR="00993CB0" w:rsidRPr="004B36C4">
        <w:rPr>
          <w:rFonts w:asciiTheme="minorHAnsi" w:hAnsiTheme="minorHAnsi"/>
        </w:rPr>
        <w:t>-</w:t>
      </w:r>
      <w:r w:rsidR="00B87539" w:rsidRPr="004B36C4">
        <w:rPr>
          <w:rFonts w:asciiTheme="minorHAnsi" w:hAnsiTheme="minorHAnsi"/>
        </w:rPr>
        <w:t xml:space="preserve">day </w:t>
      </w:r>
      <w:r w:rsidR="00E07429" w:rsidRPr="004B36C4">
        <w:rPr>
          <w:rFonts w:asciiTheme="minorHAnsi" w:hAnsiTheme="minorHAnsi"/>
        </w:rPr>
        <w:t>attendance</w:t>
      </w:r>
      <w:r w:rsidR="00993CB0" w:rsidRPr="004B36C4">
        <w:rPr>
          <w:rFonts w:asciiTheme="minorHAnsi" w:hAnsiTheme="minorHAnsi"/>
        </w:rPr>
        <w:t>,</w:t>
      </w:r>
      <w:r w:rsidR="00E07429" w:rsidRPr="004B36C4">
        <w:rPr>
          <w:rFonts w:asciiTheme="minorHAnsi" w:hAnsiTheme="minorHAnsi"/>
        </w:rPr>
        <w:t xml:space="preserve"> and</w:t>
      </w:r>
      <w:r w:rsidR="00B87539" w:rsidRPr="004B36C4">
        <w:rPr>
          <w:rFonts w:asciiTheme="minorHAnsi" w:hAnsiTheme="minorHAnsi"/>
        </w:rPr>
        <w:t xml:space="preserve"> </w:t>
      </w:r>
      <w:r w:rsidR="00E07429" w:rsidRPr="004B36C4">
        <w:rPr>
          <w:rFonts w:asciiTheme="minorHAnsi" w:hAnsiTheme="minorHAnsi"/>
        </w:rPr>
        <w:t>a decrease in</w:t>
      </w:r>
      <w:r w:rsidR="00B87539" w:rsidRPr="004B36C4">
        <w:rPr>
          <w:rFonts w:asciiTheme="minorHAnsi" w:hAnsiTheme="minorHAnsi"/>
        </w:rPr>
        <w:t xml:space="preserve"> the number of disciplinary incidents. (American Institutes for Research, 2016; American Institutes for Research, 2013)</w:t>
      </w:r>
    </w:p>
    <w:p w14:paraId="6E778807" w14:textId="2ED5D9D3" w:rsidR="00B87539" w:rsidRPr="004B36C4" w:rsidRDefault="004B36C4" w:rsidP="004B36C4">
      <w:pPr>
        <w:spacing w:before="120" w:after="120"/>
        <w:rPr>
          <w:rFonts w:asciiTheme="minorHAnsi" w:hAnsiTheme="minorHAnsi"/>
        </w:rPr>
      </w:pPr>
      <w:r w:rsidRPr="004B36C4">
        <w:rPr>
          <w:rFonts w:asciiTheme="minorHAnsi" w:hAnsiTheme="minorHAnsi"/>
          <w:b/>
          <w:u w:val="single"/>
        </w:rPr>
        <w:t>CALIFORNIA</w:t>
      </w:r>
      <w:r w:rsidRPr="004B36C4">
        <w:rPr>
          <w:rFonts w:asciiTheme="minorHAnsi" w:hAnsiTheme="minorHAnsi"/>
        </w:rPr>
        <w:t xml:space="preserve">: </w:t>
      </w:r>
      <w:r w:rsidR="00B87539" w:rsidRPr="004B36C4">
        <w:rPr>
          <w:rFonts w:asciiTheme="minorHAnsi" w:hAnsiTheme="minorHAnsi"/>
        </w:rPr>
        <w:t xml:space="preserve">A statewide longitudinal evaluation of the After School Safety and Enrichment for Teens (ASSETs) program—California’s high school component of the </w:t>
      </w:r>
      <w:r w:rsidR="00993CB0" w:rsidRPr="004B36C4">
        <w:rPr>
          <w:rFonts w:asciiTheme="minorHAnsi" w:hAnsiTheme="minorHAnsi"/>
        </w:rPr>
        <w:t>Community Learning Centers</w:t>
      </w:r>
      <w:r w:rsidR="00B87539" w:rsidRPr="004B36C4">
        <w:rPr>
          <w:rFonts w:asciiTheme="minorHAnsi" w:hAnsiTheme="minorHAnsi"/>
        </w:rPr>
        <w:t xml:space="preserve"> program—found that students participating in the ASSETs program received higher ELA and math assessment scores, and performed better on the ELA and math sections of the California High School Exit Examination than non-participants. Students participating in the program also saw improvements in their school</w:t>
      </w:r>
      <w:r w:rsidR="00993CB0" w:rsidRPr="004B36C4">
        <w:rPr>
          <w:rFonts w:asciiTheme="minorHAnsi" w:hAnsiTheme="minorHAnsi"/>
        </w:rPr>
        <w:t>-</w:t>
      </w:r>
      <w:r w:rsidR="00B87539" w:rsidRPr="004B36C4">
        <w:rPr>
          <w:rFonts w:asciiTheme="minorHAnsi" w:hAnsiTheme="minorHAnsi"/>
        </w:rPr>
        <w:t>day attendance</w:t>
      </w:r>
      <w:r w:rsidR="00993CB0" w:rsidRPr="004B36C4">
        <w:rPr>
          <w:rFonts w:asciiTheme="minorHAnsi" w:hAnsiTheme="minorHAnsi"/>
        </w:rPr>
        <w:t>,</w:t>
      </w:r>
      <w:r w:rsidR="00B87539" w:rsidRPr="004B36C4">
        <w:rPr>
          <w:rFonts w:asciiTheme="minorHAnsi" w:hAnsiTheme="minorHAnsi"/>
        </w:rPr>
        <w:t xml:space="preserve"> and students who regularly attended the program were less likely to be suspended at school. (CRESST, 2012)</w:t>
      </w:r>
    </w:p>
    <w:p w14:paraId="22CCFB0A" w14:textId="2ADF9CCB" w:rsidR="004B36C4" w:rsidRDefault="004B36C4" w:rsidP="004B36C4">
      <w:pPr>
        <w:spacing w:before="120" w:after="120"/>
        <w:rPr>
          <w:rFonts w:asciiTheme="minorHAnsi" w:hAnsiTheme="minorHAnsi"/>
        </w:rPr>
      </w:pPr>
      <w:r w:rsidRPr="004B36C4">
        <w:rPr>
          <w:rFonts w:asciiTheme="minorHAnsi" w:hAnsiTheme="minorHAnsi"/>
          <w:b/>
          <w:u w:val="single"/>
        </w:rPr>
        <w:t xml:space="preserve">WASHINGTON: </w:t>
      </w:r>
      <w:r w:rsidR="00B87539" w:rsidRPr="004B36C4">
        <w:rPr>
          <w:rFonts w:asciiTheme="minorHAnsi" w:hAnsiTheme="minorHAnsi"/>
        </w:rPr>
        <w:t xml:space="preserve">Students regularly attending Washington </w:t>
      </w:r>
      <w:r w:rsidR="00993CB0" w:rsidRPr="004B36C4">
        <w:rPr>
          <w:rFonts w:asciiTheme="minorHAnsi" w:hAnsiTheme="minorHAnsi"/>
        </w:rPr>
        <w:t>S</w:t>
      </w:r>
      <w:r w:rsidR="00B87539" w:rsidRPr="004B36C4">
        <w:rPr>
          <w:rFonts w:asciiTheme="minorHAnsi" w:hAnsiTheme="minorHAnsi"/>
        </w:rPr>
        <w:t>tate’s 21</w:t>
      </w:r>
      <w:r w:rsidR="00B87539" w:rsidRPr="004B36C4">
        <w:rPr>
          <w:rFonts w:asciiTheme="minorHAnsi" w:hAnsiTheme="minorHAnsi"/>
          <w:vertAlign w:val="superscript"/>
        </w:rPr>
        <w:t>st</w:t>
      </w:r>
      <w:r w:rsidR="00B87539" w:rsidRPr="004B36C4">
        <w:rPr>
          <w:rFonts w:asciiTheme="minorHAnsi" w:hAnsiTheme="minorHAnsi"/>
        </w:rPr>
        <w:t xml:space="preserve"> CCLC afterschool programs saw improvements in their reading and math achievement, as well as a positive impact on their overall GPA, compared to their non-participating peers. (America</w:t>
      </w:r>
      <w:r>
        <w:rPr>
          <w:rFonts w:asciiTheme="minorHAnsi" w:hAnsiTheme="minorHAnsi"/>
        </w:rPr>
        <w:t>n Institutes for Research, 2014</w:t>
      </w:r>
      <w:r w:rsidR="00A430C3">
        <w:rPr>
          <w:rFonts w:asciiTheme="minorHAnsi" w:hAnsiTheme="minorHAnsi"/>
        </w:rPr>
        <w:t>)</w:t>
      </w:r>
    </w:p>
    <w:p w14:paraId="41E6D450" w14:textId="2CC777FD" w:rsidR="00B87539" w:rsidRPr="004B36C4" w:rsidRDefault="004B36C4" w:rsidP="004B36C4">
      <w:pPr>
        <w:spacing w:before="120" w:after="120"/>
        <w:rPr>
          <w:rFonts w:asciiTheme="minorHAnsi" w:hAnsiTheme="minorHAnsi"/>
        </w:rPr>
      </w:pPr>
      <w:r w:rsidRPr="004B36C4">
        <w:rPr>
          <w:rFonts w:asciiTheme="minorHAnsi" w:hAnsiTheme="minorHAnsi"/>
          <w:b/>
          <w:u w:val="single"/>
        </w:rPr>
        <w:t>WISCONSIN</w:t>
      </w:r>
      <w:r w:rsidRPr="004B36C4">
        <w:rPr>
          <w:rFonts w:asciiTheme="minorHAnsi" w:hAnsiTheme="minorHAnsi"/>
        </w:rPr>
        <w:t xml:space="preserve">: </w:t>
      </w:r>
      <w:r w:rsidR="00B87539" w:rsidRPr="004B36C4">
        <w:rPr>
          <w:rFonts w:asciiTheme="minorHAnsi" w:hAnsiTheme="minorHAnsi"/>
        </w:rPr>
        <w:t xml:space="preserve">Teachers of students participating in Wisconsin </w:t>
      </w:r>
      <w:r w:rsidR="00993CB0" w:rsidRPr="004B36C4">
        <w:rPr>
          <w:rFonts w:asciiTheme="minorHAnsi" w:hAnsiTheme="minorHAnsi"/>
        </w:rPr>
        <w:t>Community Learning Centers</w:t>
      </w:r>
      <w:r w:rsidR="00B87539" w:rsidRPr="004B36C4">
        <w:rPr>
          <w:rFonts w:asciiTheme="minorHAnsi" w:hAnsiTheme="minorHAnsi"/>
        </w:rPr>
        <w:t xml:space="preserve"> programs reported more than two-thirds improved their class participation, 60 percent saw improvements in their motivation to learn and 55 percent improved their behavior in class. (Wisconsin Department of Instruction, 2014)</w:t>
      </w:r>
    </w:p>
    <w:p w14:paraId="4F6BCB51" w14:textId="77777777" w:rsidR="00B87539" w:rsidRPr="004B36C4" w:rsidRDefault="00B87539" w:rsidP="00A460E5">
      <w:pPr>
        <w:spacing w:before="120" w:after="120"/>
        <w:rPr>
          <w:rFonts w:asciiTheme="minorHAnsi" w:hAnsiTheme="minorHAnsi"/>
        </w:rPr>
      </w:pPr>
    </w:p>
    <w:p w14:paraId="4727E3B9" w14:textId="77777777" w:rsidR="003662C2" w:rsidRDefault="003662C2" w:rsidP="00B87539">
      <w:pPr>
        <w:spacing w:before="120" w:after="120"/>
      </w:pPr>
    </w:p>
    <w:p w14:paraId="455A10DA" w14:textId="2BB7D9B6" w:rsidR="003662C2" w:rsidRPr="003662C2" w:rsidRDefault="003662C2" w:rsidP="00B87539">
      <w:pPr>
        <w:spacing w:before="120" w:after="120"/>
      </w:pPr>
      <w:r w:rsidRPr="003662C2">
        <w:t xml:space="preserve">Additionally, there is a significant body of research that demonstrates the positive outcomes associated with participation in quality afterschool programs overall. </w:t>
      </w:r>
    </w:p>
    <w:p w14:paraId="1EC3213B" w14:textId="7385F132" w:rsidR="003662C2" w:rsidRPr="003662C2" w:rsidRDefault="003662C2" w:rsidP="003662C2">
      <w:pPr>
        <w:pStyle w:val="ListParagraph"/>
        <w:numPr>
          <w:ilvl w:val="0"/>
          <w:numId w:val="5"/>
        </w:numPr>
        <w:spacing w:before="120" w:after="120" w:line="240" w:lineRule="auto"/>
        <w:rPr>
          <w:b/>
          <w:color w:val="44546A" w:themeColor="text2"/>
        </w:rPr>
      </w:pPr>
      <w:r w:rsidRPr="003662C2">
        <w:t xml:space="preserve">An evaluation of high-quality afterschool programs serving </w:t>
      </w:r>
      <w:r>
        <w:t xml:space="preserve">3,000 </w:t>
      </w:r>
      <w:r w:rsidRPr="003662C2">
        <w:t xml:space="preserve">low-income elementary and middle school students </w:t>
      </w:r>
      <w:r>
        <w:t>found that</w:t>
      </w:r>
      <w:r w:rsidRPr="003662C2">
        <w:t xml:space="preserve"> regular participation in high-quality afterschool programs provide low-income youth significant gains in math test scores and work habits and reductions in behavioral problems. (</w:t>
      </w:r>
      <w:proofErr w:type="spellStart"/>
      <w:r w:rsidRPr="003662C2">
        <w:t>Vandell</w:t>
      </w:r>
      <w:proofErr w:type="spellEnd"/>
      <w:r w:rsidRPr="003662C2">
        <w:t>, et.al., 2007)</w:t>
      </w:r>
    </w:p>
    <w:p w14:paraId="4FB1DD80" w14:textId="1DC58E55" w:rsidR="003662C2" w:rsidRPr="003662C2" w:rsidRDefault="003662C2" w:rsidP="003662C2">
      <w:pPr>
        <w:pStyle w:val="ListParagraph"/>
        <w:numPr>
          <w:ilvl w:val="0"/>
          <w:numId w:val="5"/>
        </w:numPr>
        <w:spacing w:line="240" w:lineRule="auto"/>
      </w:pPr>
      <w:r w:rsidRPr="003662C2">
        <w:t>A meta-analysis by the Collaborative for Academic, Social and Emotional Learning (CASEL) that examined 75 studies of 68 afterschool programs</w:t>
      </w:r>
      <w:r>
        <w:t xml:space="preserve"> found that</w:t>
      </w:r>
      <w:r w:rsidRPr="003662C2">
        <w:t xml:space="preserve"> students showed improved behavior and performed better academically than students who did not participate in a program.</w:t>
      </w:r>
      <w:r>
        <w:t xml:space="preserve"> (</w:t>
      </w:r>
      <w:proofErr w:type="spellStart"/>
      <w:r>
        <w:t>Durlak</w:t>
      </w:r>
      <w:proofErr w:type="spellEnd"/>
      <w:r>
        <w:t>, et.al., 2010)</w:t>
      </w:r>
    </w:p>
    <w:p w14:paraId="2B75247B" w14:textId="00E0A657" w:rsidR="00133E7D" w:rsidRDefault="00133E7D" w:rsidP="00B87539">
      <w:pPr>
        <w:spacing w:before="120" w:after="120"/>
        <w:rPr>
          <w:sz w:val="24"/>
          <w:szCs w:val="24"/>
        </w:rPr>
      </w:pPr>
      <w:r>
        <w:rPr>
          <w:b/>
          <w:color w:val="44546A" w:themeColor="text2"/>
          <w:sz w:val="32"/>
          <w:szCs w:val="32"/>
        </w:rPr>
        <w:t>Citations</w:t>
      </w:r>
    </w:p>
    <w:p w14:paraId="7228D968" w14:textId="48055A20" w:rsidR="00B87539" w:rsidRPr="003662C2" w:rsidRDefault="00B87539" w:rsidP="003662C2">
      <w:pPr>
        <w:spacing w:after="120"/>
        <w:rPr>
          <w:sz w:val="20"/>
          <w:szCs w:val="20"/>
        </w:rPr>
      </w:pPr>
      <w:r w:rsidRPr="003662C2">
        <w:rPr>
          <w:sz w:val="20"/>
          <w:szCs w:val="20"/>
        </w:rPr>
        <w:t xml:space="preserve">American Institutes for Research. (2016). </w:t>
      </w:r>
      <w:r w:rsidRPr="003662C2">
        <w:rPr>
          <w:i/>
          <w:sz w:val="20"/>
          <w:szCs w:val="20"/>
        </w:rPr>
        <w:t>Texas 21st Century Community Learning Centers: 2014-15 Evaluation Report</w:t>
      </w:r>
      <w:r w:rsidRPr="003662C2">
        <w:rPr>
          <w:sz w:val="20"/>
          <w:szCs w:val="20"/>
        </w:rPr>
        <w:t xml:space="preserve">.  Retrieved from </w:t>
      </w:r>
      <w:hyperlink r:id="rId7" w:history="1">
        <w:r w:rsidRPr="003662C2">
          <w:rPr>
            <w:rStyle w:val="Hyperlink"/>
            <w:sz w:val="20"/>
            <w:szCs w:val="20"/>
          </w:rPr>
          <w:t>http://www.tea.state.tx.us/index2.aspx?id=3546&amp;menu_id=814</w:t>
        </w:r>
      </w:hyperlink>
    </w:p>
    <w:p w14:paraId="24294E37" w14:textId="77777777" w:rsidR="00F657C2" w:rsidRPr="003662C2" w:rsidRDefault="00F657C2" w:rsidP="003662C2">
      <w:pPr>
        <w:spacing w:after="120"/>
        <w:rPr>
          <w:sz w:val="20"/>
          <w:szCs w:val="20"/>
        </w:rPr>
      </w:pPr>
      <w:r w:rsidRPr="003662C2">
        <w:rPr>
          <w:sz w:val="20"/>
          <w:szCs w:val="20"/>
        </w:rPr>
        <w:t xml:space="preserve">American Institutes for Research. (2013). </w:t>
      </w:r>
      <w:r w:rsidRPr="003662C2">
        <w:rPr>
          <w:i/>
          <w:sz w:val="20"/>
          <w:szCs w:val="20"/>
        </w:rPr>
        <w:t>Texas 21st Century Community Learning Centers: Year 2 Evaluation Report</w:t>
      </w:r>
      <w:r w:rsidRPr="003662C2">
        <w:rPr>
          <w:sz w:val="20"/>
          <w:szCs w:val="20"/>
        </w:rPr>
        <w:t xml:space="preserve">.  Retrieved from </w:t>
      </w:r>
      <w:hyperlink r:id="rId8" w:history="1">
        <w:r w:rsidRPr="003662C2">
          <w:rPr>
            <w:rStyle w:val="Hyperlink"/>
            <w:sz w:val="20"/>
            <w:szCs w:val="20"/>
          </w:rPr>
          <w:t>http://www.tea.state.tx.us/index2.aspx?id=3546&amp;menu_id=814</w:t>
        </w:r>
      </w:hyperlink>
    </w:p>
    <w:p w14:paraId="5FAA48F4" w14:textId="77777777" w:rsidR="00F657C2" w:rsidRPr="003662C2" w:rsidRDefault="00F657C2" w:rsidP="003662C2">
      <w:pPr>
        <w:spacing w:after="120"/>
        <w:rPr>
          <w:rStyle w:val="Hyperlink"/>
          <w:sz w:val="20"/>
          <w:szCs w:val="20"/>
        </w:rPr>
      </w:pPr>
      <w:r w:rsidRPr="003662C2">
        <w:rPr>
          <w:sz w:val="20"/>
          <w:szCs w:val="20"/>
        </w:rPr>
        <w:t xml:space="preserve">American Institutes for Research. (2014). </w:t>
      </w:r>
      <w:r w:rsidRPr="003662C2">
        <w:rPr>
          <w:i/>
          <w:sz w:val="20"/>
          <w:szCs w:val="20"/>
        </w:rPr>
        <w:t>Rhode Island 21</w:t>
      </w:r>
      <w:r w:rsidRPr="003662C2">
        <w:rPr>
          <w:i/>
          <w:sz w:val="20"/>
          <w:szCs w:val="20"/>
          <w:vertAlign w:val="superscript"/>
        </w:rPr>
        <w:t>st</w:t>
      </w:r>
      <w:r w:rsidRPr="003662C2">
        <w:rPr>
          <w:i/>
          <w:sz w:val="20"/>
          <w:szCs w:val="20"/>
        </w:rPr>
        <w:t> Century Community Learning Center Program Evaluation: Descriptive Report</w:t>
      </w:r>
      <w:r w:rsidRPr="003662C2">
        <w:rPr>
          <w:sz w:val="20"/>
          <w:szCs w:val="20"/>
        </w:rPr>
        <w:t>. Retrieved from </w:t>
      </w:r>
      <w:hyperlink r:id="rId9" w:history="1">
        <w:r w:rsidRPr="003662C2">
          <w:rPr>
            <w:rStyle w:val="Hyperlink"/>
            <w:sz w:val="20"/>
            <w:szCs w:val="20"/>
          </w:rPr>
          <w:t>http://www.ride.ri.gov/Portals/0/Uploads/Documents/Students-and-Families-Great-Schools/Educational-Programming/21stCCLCs/RI21CCLC-Evaluation-Descriptive-Report-2014.pdf</w:t>
        </w:r>
      </w:hyperlink>
    </w:p>
    <w:p w14:paraId="22BDA297" w14:textId="77777777" w:rsidR="00F657C2" w:rsidRPr="003662C2" w:rsidRDefault="00F657C2" w:rsidP="003662C2">
      <w:pPr>
        <w:spacing w:after="120"/>
        <w:rPr>
          <w:rStyle w:val="Hyperlink"/>
          <w:sz w:val="20"/>
          <w:szCs w:val="20"/>
        </w:rPr>
      </w:pPr>
      <w:r w:rsidRPr="003662C2">
        <w:rPr>
          <w:sz w:val="20"/>
          <w:szCs w:val="20"/>
        </w:rPr>
        <w:t>American Institutes for Research. (2014). </w:t>
      </w:r>
      <w:r w:rsidRPr="003662C2">
        <w:rPr>
          <w:i/>
          <w:sz w:val="20"/>
          <w:szCs w:val="20"/>
        </w:rPr>
        <w:t>Washington 21</w:t>
      </w:r>
      <w:r w:rsidRPr="003662C2">
        <w:rPr>
          <w:i/>
          <w:sz w:val="20"/>
          <w:szCs w:val="20"/>
          <w:vertAlign w:val="superscript"/>
        </w:rPr>
        <w:t>st</w:t>
      </w:r>
      <w:r w:rsidRPr="003662C2">
        <w:rPr>
          <w:i/>
          <w:sz w:val="20"/>
          <w:szCs w:val="20"/>
        </w:rPr>
        <w:t> Century Community Learning Centers Program Evaluation: Year 2</w:t>
      </w:r>
      <w:r w:rsidRPr="003662C2">
        <w:rPr>
          <w:sz w:val="20"/>
          <w:szCs w:val="20"/>
        </w:rPr>
        <w:t xml:space="preserve">. Retrieved from  </w:t>
      </w:r>
      <w:hyperlink r:id="rId10" w:history="1">
        <w:r w:rsidRPr="003662C2">
          <w:rPr>
            <w:rStyle w:val="Hyperlink"/>
            <w:sz w:val="20"/>
            <w:szCs w:val="20"/>
          </w:rPr>
          <w:t>http://www.k12.wa.us/21stCenturyLearning/pubdocs/14-1167WA21CCLCFinalYear2Report-ed.pdf</w:t>
        </w:r>
      </w:hyperlink>
      <w:r w:rsidRPr="003662C2">
        <w:rPr>
          <w:sz w:val="20"/>
          <w:szCs w:val="20"/>
        </w:rPr>
        <w:t xml:space="preserve"> </w:t>
      </w:r>
    </w:p>
    <w:p w14:paraId="60134E8C" w14:textId="77777777" w:rsidR="00B87539" w:rsidRPr="003662C2" w:rsidRDefault="00B87539" w:rsidP="003662C2">
      <w:pPr>
        <w:spacing w:after="120"/>
        <w:rPr>
          <w:i/>
          <w:sz w:val="20"/>
          <w:szCs w:val="20"/>
        </w:rPr>
      </w:pPr>
      <w:r w:rsidRPr="003662C2">
        <w:rPr>
          <w:sz w:val="20"/>
          <w:szCs w:val="20"/>
        </w:rPr>
        <w:t xml:space="preserve">Evers, T. (2014). </w:t>
      </w:r>
      <w:r w:rsidRPr="003662C2">
        <w:rPr>
          <w:i/>
          <w:sz w:val="20"/>
          <w:szCs w:val="20"/>
        </w:rPr>
        <w:t>Wisconsin Department of Public Instruction’s 21</w:t>
      </w:r>
      <w:r w:rsidRPr="003662C2">
        <w:rPr>
          <w:i/>
          <w:sz w:val="20"/>
          <w:szCs w:val="20"/>
          <w:vertAlign w:val="superscript"/>
        </w:rPr>
        <w:t>st</w:t>
      </w:r>
      <w:r w:rsidRPr="003662C2">
        <w:rPr>
          <w:i/>
          <w:sz w:val="20"/>
          <w:szCs w:val="20"/>
        </w:rPr>
        <w:t xml:space="preserve"> Century Community Learning Centers Executive Summary: 2013-2014.</w:t>
      </w:r>
    </w:p>
    <w:p w14:paraId="62C98B98" w14:textId="7A44DA68" w:rsidR="00F5109D" w:rsidRPr="003662C2" w:rsidRDefault="00B87539" w:rsidP="003662C2">
      <w:pPr>
        <w:spacing w:after="120"/>
        <w:rPr>
          <w:sz w:val="20"/>
          <w:szCs w:val="20"/>
        </w:rPr>
      </w:pPr>
      <w:r w:rsidRPr="003662C2">
        <w:rPr>
          <w:sz w:val="20"/>
          <w:szCs w:val="20"/>
        </w:rPr>
        <w:t xml:space="preserve">Huang, D. Wang, J., et. al. (2012). Independent Statewide Evaluation of High School After School Programs.  National Center for Research on Evaluation, Standards, and Student Testing, University of California, Los Angeles.  Retrieved from </w:t>
      </w:r>
      <w:hyperlink r:id="rId11" w:history="1">
        <w:r w:rsidR="00E07429" w:rsidRPr="003662C2">
          <w:rPr>
            <w:rStyle w:val="Hyperlink"/>
            <w:sz w:val="20"/>
            <w:szCs w:val="20"/>
          </w:rPr>
          <w:t>http://www.cde.ca.gov/ls/ba/cp/uclaeval.asp</w:t>
        </w:r>
      </w:hyperlink>
    </w:p>
    <w:p w14:paraId="74DB1ACF" w14:textId="77777777" w:rsidR="003662C2" w:rsidRPr="003662C2" w:rsidRDefault="003662C2" w:rsidP="003662C2">
      <w:pPr>
        <w:spacing w:after="120"/>
        <w:rPr>
          <w:rFonts w:asciiTheme="minorHAnsi" w:hAnsiTheme="minorHAnsi"/>
          <w:sz w:val="20"/>
          <w:szCs w:val="20"/>
        </w:rPr>
      </w:pPr>
      <w:proofErr w:type="spellStart"/>
      <w:r w:rsidRPr="003662C2">
        <w:rPr>
          <w:rFonts w:asciiTheme="minorHAnsi" w:hAnsiTheme="minorHAnsi"/>
          <w:sz w:val="20"/>
          <w:szCs w:val="20"/>
        </w:rPr>
        <w:t>Durlak</w:t>
      </w:r>
      <w:proofErr w:type="spellEnd"/>
      <w:r w:rsidRPr="003662C2">
        <w:rPr>
          <w:rFonts w:asciiTheme="minorHAnsi" w:hAnsiTheme="minorHAnsi"/>
          <w:sz w:val="20"/>
          <w:szCs w:val="20"/>
        </w:rPr>
        <w:t xml:space="preserve">, J.A., </w:t>
      </w:r>
      <w:proofErr w:type="spellStart"/>
      <w:r w:rsidRPr="003662C2">
        <w:rPr>
          <w:rFonts w:asciiTheme="minorHAnsi" w:hAnsiTheme="minorHAnsi"/>
          <w:sz w:val="20"/>
          <w:szCs w:val="20"/>
        </w:rPr>
        <w:t>Weissberg</w:t>
      </w:r>
      <w:proofErr w:type="spellEnd"/>
      <w:r w:rsidRPr="003662C2">
        <w:rPr>
          <w:rFonts w:asciiTheme="minorHAnsi" w:hAnsiTheme="minorHAnsi"/>
          <w:sz w:val="20"/>
          <w:szCs w:val="20"/>
        </w:rPr>
        <w:t xml:space="preserve">, R. and </w:t>
      </w:r>
      <w:proofErr w:type="spellStart"/>
      <w:r w:rsidRPr="003662C2">
        <w:rPr>
          <w:rFonts w:asciiTheme="minorHAnsi" w:hAnsiTheme="minorHAnsi"/>
          <w:sz w:val="20"/>
          <w:szCs w:val="20"/>
        </w:rPr>
        <w:t>Pachan</w:t>
      </w:r>
      <w:proofErr w:type="spellEnd"/>
      <w:r w:rsidRPr="003662C2">
        <w:rPr>
          <w:rFonts w:asciiTheme="minorHAnsi" w:hAnsiTheme="minorHAnsi"/>
          <w:sz w:val="20"/>
          <w:szCs w:val="20"/>
        </w:rPr>
        <w:t xml:space="preserve">, M. (2010). “A Meta-Analysis of After-School Programs That Seek to Promote Personal and Social Skills in Children and Adolescents.” </w:t>
      </w:r>
      <w:r w:rsidRPr="003662C2">
        <w:rPr>
          <w:rFonts w:asciiTheme="minorHAnsi" w:hAnsiTheme="minorHAnsi"/>
          <w:i/>
          <w:sz w:val="20"/>
          <w:szCs w:val="20"/>
        </w:rPr>
        <w:t>American Journal of Community Psychology</w:t>
      </w:r>
      <w:r w:rsidRPr="003662C2">
        <w:rPr>
          <w:rFonts w:asciiTheme="minorHAnsi" w:hAnsiTheme="minorHAnsi"/>
          <w:sz w:val="20"/>
          <w:szCs w:val="20"/>
        </w:rPr>
        <w:t xml:space="preserve">.  Retrieved from </w:t>
      </w:r>
      <w:hyperlink r:id="rId12" w:anchor="page-1" w:history="1">
        <w:r w:rsidRPr="003662C2">
          <w:rPr>
            <w:rStyle w:val="Hyperlink"/>
            <w:rFonts w:asciiTheme="minorHAnsi" w:hAnsiTheme="minorHAnsi"/>
            <w:sz w:val="20"/>
            <w:szCs w:val="20"/>
          </w:rPr>
          <w:t>http://link.springer.com/article/10.1007/s10464-010-9300-6#page-1</w:t>
        </w:r>
      </w:hyperlink>
      <w:r w:rsidRPr="003662C2">
        <w:rPr>
          <w:rFonts w:asciiTheme="minorHAnsi" w:hAnsiTheme="minorHAnsi"/>
          <w:sz w:val="20"/>
          <w:szCs w:val="20"/>
        </w:rPr>
        <w:t xml:space="preserve">.  </w:t>
      </w:r>
    </w:p>
    <w:p w14:paraId="6A6503EC" w14:textId="77777777" w:rsidR="003662C2" w:rsidRPr="003662C2" w:rsidRDefault="003662C2" w:rsidP="003662C2">
      <w:pPr>
        <w:spacing w:after="120"/>
        <w:rPr>
          <w:rFonts w:asciiTheme="minorHAnsi" w:hAnsiTheme="minorHAnsi"/>
          <w:sz w:val="20"/>
          <w:szCs w:val="20"/>
        </w:rPr>
      </w:pPr>
      <w:proofErr w:type="spellStart"/>
      <w:r w:rsidRPr="003662C2">
        <w:rPr>
          <w:rFonts w:asciiTheme="minorHAnsi" w:hAnsiTheme="minorHAnsi"/>
          <w:sz w:val="20"/>
          <w:szCs w:val="20"/>
        </w:rPr>
        <w:t>Vandell</w:t>
      </w:r>
      <w:proofErr w:type="spellEnd"/>
      <w:r w:rsidRPr="003662C2">
        <w:rPr>
          <w:rFonts w:asciiTheme="minorHAnsi" w:hAnsiTheme="minorHAnsi"/>
          <w:sz w:val="20"/>
          <w:szCs w:val="20"/>
        </w:rPr>
        <w:t xml:space="preserve">, D.L., et. al. (2007). Outcomes Linked to High-Quality After-School Programs: Longitudinal Findings from the Study of Promising Afterschool Programs. University of California, Irvine. Irvine, CA.  </w:t>
      </w:r>
      <w:hyperlink r:id="rId13" w:history="1">
        <w:r w:rsidRPr="003662C2">
          <w:rPr>
            <w:rStyle w:val="Hyperlink"/>
            <w:rFonts w:asciiTheme="minorHAnsi" w:hAnsiTheme="minorHAnsi"/>
            <w:sz w:val="20"/>
            <w:szCs w:val="20"/>
          </w:rPr>
          <w:t>http://www.policystudies.com/studies/?id=32</w:t>
        </w:r>
      </w:hyperlink>
      <w:r w:rsidRPr="003662C2">
        <w:rPr>
          <w:rFonts w:asciiTheme="minorHAnsi" w:hAnsiTheme="minorHAnsi"/>
          <w:sz w:val="20"/>
          <w:szCs w:val="20"/>
        </w:rPr>
        <w:t xml:space="preserve">. </w:t>
      </w:r>
    </w:p>
    <w:p w14:paraId="7F8CCA56" w14:textId="77777777" w:rsidR="00133E7D" w:rsidRDefault="00133E7D" w:rsidP="00F5109D">
      <w:pPr>
        <w:rPr>
          <w:color w:val="000000"/>
        </w:rPr>
      </w:pPr>
    </w:p>
    <w:p w14:paraId="573B3C74" w14:textId="3EF21E08" w:rsidR="00133E7D" w:rsidRDefault="00133E7D" w:rsidP="003662C2">
      <w:pPr>
        <w:spacing w:before="120" w:after="120"/>
        <w:jc w:val="center"/>
        <w:rPr>
          <w:color w:val="000000"/>
        </w:rPr>
      </w:pPr>
      <w:r w:rsidRPr="004B36C4">
        <w:rPr>
          <w:rFonts w:asciiTheme="minorHAnsi" w:hAnsiTheme="minorHAnsi"/>
        </w:rPr>
        <w:t xml:space="preserve">For more research on the impact of afterschool and summer learning programs visit </w:t>
      </w:r>
      <w:hyperlink r:id="rId14" w:history="1">
        <w:r w:rsidRPr="004B36C4">
          <w:rPr>
            <w:rStyle w:val="Hyperlink"/>
            <w:rFonts w:asciiTheme="minorHAnsi" w:hAnsiTheme="minorHAnsi"/>
          </w:rPr>
          <w:t>afterschoolalliance.org</w:t>
        </w:r>
      </w:hyperlink>
    </w:p>
    <w:sectPr w:rsidR="00133E7D" w:rsidSect="00133E7D">
      <w:headerReference w:type="default" r:id="rId15"/>
      <w:footerReference w:type="default" r:id="rId16"/>
      <w:pgSz w:w="12240" w:h="15840"/>
      <w:pgMar w:top="5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8729C" w14:textId="77777777" w:rsidR="0058262D" w:rsidRDefault="0058262D" w:rsidP="002971AE">
      <w:r>
        <w:separator/>
      </w:r>
    </w:p>
  </w:endnote>
  <w:endnote w:type="continuationSeparator" w:id="0">
    <w:p w14:paraId="05260EB7" w14:textId="77777777" w:rsidR="0058262D" w:rsidRDefault="0058262D" w:rsidP="0029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Ligh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A57B" w14:textId="77777777" w:rsidR="00855748" w:rsidRDefault="00855748" w:rsidP="00FE6FB3">
    <w:pPr>
      <w:pStyle w:val="Footer"/>
      <w:tabs>
        <w:tab w:val="right" w:pos="4140"/>
        <w:tab w:val="left" w:pos="4500"/>
      </w:tabs>
      <w:spacing w:line="360" w:lineRule="auto"/>
      <w:jc w:val="center"/>
      <w:rPr>
        <w:rFonts w:ascii="Trebuchet MS" w:hAnsi="Trebuchet MS"/>
        <w:color w:val="0070C0"/>
        <w:sz w:val="16"/>
        <w:szCs w:val="14"/>
      </w:rPr>
    </w:pPr>
    <w:r>
      <w:rPr>
        <w:noProof/>
      </w:rPr>
      <w:drawing>
        <wp:anchor distT="0" distB="0" distL="114300" distR="114300" simplePos="0" relativeHeight="251661312" behindDoc="1" locked="0" layoutInCell="1" allowOverlap="1" wp14:anchorId="7008A378" wp14:editId="16741FD8">
          <wp:simplePos x="0" y="0"/>
          <wp:positionH relativeFrom="margin">
            <wp:posOffset>-1019175</wp:posOffset>
          </wp:positionH>
          <wp:positionV relativeFrom="paragraph">
            <wp:posOffset>189230</wp:posOffset>
          </wp:positionV>
          <wp:extent cx="7908925" cy="666750"/>
          <wp:effectExtent l="0" t="0" r="0" b="0"/>
          <wp:wrapTight wrapText="bothSides">
            <wp:wrapPolygon edited="0">
              <wp:start x="0" y="1234"/>
              <wp:lineTo x="0" y="19749"/>
              <wp:lineTo x="21539" y="19749"/>
              <wp:lineTo x="21539" y="1234"/>
              <wp:lineTo x="0" y="1234"/>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bon_blue-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666750"/>
                  </a:xfrm>
                  <a:prstGeom prst="rect">
                    <a:avLst/>
                  </a:prstGeom>
                </pic:spPr>
              </pic:pic>
            </a:graphicData>
          </a:graphic>
          <wp14:sizeRelH relativeFrom="margin">
            <wp14:pctWidth>0</wp14:pctWidth>
          </wp14:sizeRelH>
          <wp14:sizeRelV relativeFrom="margin">
            <wp14:pctHeight>0</wp14:pctHeight>
          </wp14:sizeRelV>
        </wp:anchor>
      </w:drawing>
    </w:r>
  </w:p>
  <w:p w14:paraId="21D855C6" w14:textId="77777777" w:rsidR="00FE6FB3" w:rsidRPr="00655D0A" w:rsidRDefault="00FE6FB3" w:rsidP="00FE6FB3">
    <w:pPr>
      <w:pStyle w:val="Footer"/>
      <w:tabs>
        <w:tab w:val="right" w:pos="4140"/>
        <w:tab w:val="left" w:pos="4500"/>
      </w:tabs>
      <w:spacing w:line="360" w:lineRule="auto"/>
      <w:jc w:val="center"/>
      <w:rPr>
        <w:rFonts w:ascii="Trebuchet MS" w:hAnsi="Trebuchet MS"/>
        <w:color w:val="0070C0"/>
        <w:sz w:val="16"/>
        <w:szCs w:val="14"/>
      </w:rPr>
    </w:pPr>
    <w:r w:rsidRPr="00655D0A">
      <w:rPr>
        <w:rFonts w:ascii="Trebuchet MS" w:hAnsi="Trebuchet MS"/>
        <w:color w:val="0070C0"/>
        <w:sz w:val="16"/>
        <w:szCs w:val="14"/>
      </w:rPr>
      <w:t xml:space="preserve">Afterschool Alliance </w:t>
    </w:r>
    <w:r w:rsidR="00855748">
      <w:rPr>
        <w:rFonts w:ascii="Trebuchet MS" w:hAnsi="Trebuchet MS"/>
        <w:color w:val="0070C0"/>
        <w:sz w:val="16"/>
        <w:szCs w:val="14"/>
      </w:rPr>
      <w:t>•</w:t>
    </w:r>
    <w:r w:rsidRPr="00655D0A">
      <w:rPr>
        <w:rFonts w:ascii="Trebuchet MS" w:hAnsi="Trebuchet MS"/>
        <w:color w:val="0070C0"/>
        <w:sz w:val="16"/>
        <w:szCs w:val="14"/>
      </w:rPr>
      <w:t xml:space="preserve"> 1616 H Street NW Ste. 820 </w:t>
    </w:r>
    <w:r w:rsidR="00855748">
      <w:rPr>
        <w:rFonts w:ascii="Trebuchet MS" w:hAnsi="Trebuchet MS"/>
        <w:color w:val="0070C0"/>
        <w:sz w:val="16"/>
        <w:szCs w:val="14"/>
      </w:rPr>
      <w:t>•</w:t>
    </w:r>
    <w:r w:rsidRPr="00655D0A">
      <w:rPr>
        <w:rFonts w:ascii="Trebuchet MS" w:hAnsi="Trebuchet MS"/>
        <w:color w:val="0070C0"/>
        <w:sz w:val="16"/>
        <w:szCs w:val="14"/>
      </w:rPr>
      <w:t xml:space="preserve"> Washington, D.C.  20006 </w:t>
    </w:r>
  </w:p>
  <w:p w14:paraId="035F4A9A" w14:textId="77777777" w:rsidR="00FE6FB3" w:rsidRPr="00655D0A" w:rsidRDefault="00FE6FB3" w:rsidP="00FE6FB3">
    <w:pPr>
      <w:pStyle w:val="Footer"/>
      <w:tabs>
        <w:tab w:val="right" w:pos="4140"/>
        <w:tab w:val="left" w:pos="4500"/>
      </w:tabs>
      <w:spacing w:line="360" w:lineRule="auto"/>
      <w:jc w:val="center"/>
      <w:rPr>
        <w:rFonts w:ascii="Trebuchet MS" w:hAnsi="Trebuchet MS"/>
        <w:color w:val="0070C0"/>
        <w:sz w:val="16"/>
        <w:szCs w:val="14"/>
      </w:rPr>
    </w:pPr>
    <w:r w:rsidRPr="00655D0A">
      <w:rPr>
        <w:rFonts w:ascii="Trebuchet MS" w:hAnsi="Trebuchet MS"/>
        <w:color w:val="0070C0"/>
        <w:sz w:val="16"/>
        <w:szCs w:val="14"/>
      </w:rPr>
      <w:t>afterschoolalliance.org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10839" w14:textId="77777777" w:rsidR="0058262D" w:rsidRDefault="0058262D" w:rsidP="002971AE">
      <w:r>
        <w:separator/>
      </w:r>
    </w:p>
  </w:footnote>
  <w:footnote w:type="continuationSeparator" w:id="0">
    <w:p w14:paraId="534617A9" w14:textId="77777777" w:rsidR="0058262D" w:rsidRDefault="0058262D" w:rsidP="0029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BE34" w14:textId="77777777" w:rsidR="002971AE" w:rsidRDefault="002971AE">
    <w:pPr>
      <w:pStyle w:val="Header"/>
    </w:pPr>
    <w:r>
      <w:rPr>
        <w:noProof/>
      </w:rPr>
      <w:drawing>
        <wp:anchor distT="0" distB="0" distL="114300" distR="114300" simplePos="0" relativeHeight="251659264" behindDoc="1" locked="0" layoutInCell="1" allowOverlap="1" wp14:anchorId="4BE1930E" wp14:editId="27D34B9E">
          <wp:simplePos x="0" y="0"/>
          <wp:positionH relativeFrom="column">
            <wp:posOffset>-466725</wp:posOffset>
          </wp:positionH>
          <wp:positionV relativeFrom="paragraph">
            <wp:posOffset>-76200</wp:posOffset>
          </wp:positionV>
          <wp:extent cx="3619500" cy="800100"/>
          <wp:effectExtent l="0" t="0" r="0" b="0"/>
          <wp:wrapSquare wrapText="bothSides"/>
          <wp:docPr id="107" name="Picture 0" descr="aalogo-horz2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alogo-horz293.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4ADA688" w14:textId="77777777" w:rsidR="002971AE" w:rsidRDefault="00297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865"/>
    <w:multiLevelType w:val="hybridMultilevel"/>
    <w:tmpl w:val="EA289F30"/>
    <w:lvl w:ilvl="0" w:tplc="DD72E724">
      <w:numFmt w:val="bullet"/>
      <w:lvlText w:val="-"/>
      <w:lvlJc w:val="left"/>
      <w:pPr>
        <w:ind w:left="720" w:hanging="360"/>
      </w:pPr>
      <w:rPr>
        <w:rFonts w:ascii="Calibri" w:eastAsiaTheme="minorHAnsi" w:hAnsi="Calibri"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850B4"/>
    <w:multiLevelType w:val="hybridMultilevel"/>
    <w:tmpl w:val="DCD2F954"/>
    <w:lvl w:ilvl="0" w:tplc="7A3CD13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46EB4"/>
    <w:multiLevelType w:val="hybridMultilevel"/>
    <w:tmpl w:val="2D9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A75F99"/>
    <w:multiLevelType w:val="hybridMultilevel"/>
    <w:tmpl w:val="89E0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B3"/>
    <w:rsid w:val="00133E7D"/>
    <w:rsid w:val="002073E0"/>
    <w:rsid w:val="002658BA"/>
    <w:rsid w:val="002971AE"/>
    <w:rsid w:val="003662C2"/>
    <w:rsid w:val="004B36C4"/>
    <w:rsid w:val="0058262D"/>
    <w:rsid w:val="005A0433"/>
    <w:rsid w:val="00674506"/>
    <w:rsid w:val="006E0B92"/>
    <w:rsid w:val="00822689"/>
    <w:rsid w:val="00853C13"/>
    <w:rsid w:val="00855748"/>
    <w:rsid w:val="008A2059"/>
    <w:rsid w:val="00993CB0"/>
    <w:rsid w:val="00A430C3"/>
    <w:rsid w:val="00A460E5"/>
    <w:rsid w:val="00AD5DE7"/>
    <w:rsid w:val="00B87539"/>
    <w:rsid w:val="00C45BE8"/>
    <w:rsid w:val="00D7191A"/>
    <w:rsid w:val="00D839B9"/>
    <w:rsid w:val="00DE0580"/>
    <w:rsid w:val="00E07429"/>
    <w:rsid w:val="00F5109D"/>
    <w:rsid w:val="00F657C2"/>
    <w:rsid w:val="00FE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2473"/>
  <w15:chartTrackingRefBased/>
  <w15:docId w15:val="{159E2F6F-59C5-40E5-B28A-3B3ADA5E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09D"/>
    <w:pPr>
      <w:spacing w:after="0" w:line="240" w:lineRule="auto"/>
    </w:pPr>
    <w:rPr>
      <w:rFonts w:ascii="Calibri" w:hAnsi="Calibri" w:cs="Times New Roman"/>
    </w:rPr>
  </w:style>
  <w:style w:type="paragraph" w:styleId="Heading1">
    <w:name w:val="heading 1"/>
    <w:basedOn w:val="Normal"/>
    <w:link w:val="Heading1Char"/>
    <w:uiPriority w:val="9"/>
    <w:qFormat/>
    <w:rsid w:val="00F5109D"/>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1AE"/>
    <w:pPr>
      <w:tabs>
        <w:tab w:val="center" w:pos="4680"/>
        <w:tab w:val="right" w:pos="9360"/>
      </w:tabs>
    </w:pPr>
  </w:style>
  <w:style w:type="character" w:customStyle="1" w:styleId="HeaderChar">
    <w:name w:val="Header Char"/>
    <w:basedOn w:val="DefaultParagraphFont"/>
    <w:link w:val="Header"/>
    <w:uiPriority w:val="99"/>
    <w:rsid w:val="002971AE"/>
  </w:style>
  <w:style w:type="paragraph" w:styleId="Footer">
    <w:name w:val="footer"/>
    <w:basedOn w:val="Normal"/>
    <w:link w:val="FooterChar"/>
    <w:uiPriority w:val="99"/>
    <w:unhideWhenUsed/>
    <w:rsid w:val="002971AE"/>
    <w:pPr>
      <w:tabs>
        <w:tab w:val="center" w:pos="4680"/>
        <w:tab w:val="right" w:pos="9360"/>
      </w:tabs>
    </w:pPr>
  </w:style>
  <w:style w:type="character" w:customStyle="1" w:styleId="FooterChar">
    <w:name w:val="Footer Char"/>
    <w:basedOn w:val="DefaultParagraphFont"/>
    <w:link w:val="Footer"/>
    <w:uiPriority w:val="99"/>
    <w:rsid w:val="002971AE"/>
  </w:style>
  <w:style w:type="character" w:customStyle="1" w:styleId="Heading1Char">
    <w:name w:val="Heading 1 Char"/>
    <w:basedOn w:val="DefaultParagraphFont"/>
    <w:link w:val="Heading1"/>
    <w:uiPriority w:val="9"/>
    <w:rsid w:val="00F5109D"/>
    <w:rPr>
      <w:rFonts w:ascii="Times New Roman" w:hAnsi="Times New Roman" w:cs="Times New Roman"/>
      <w:b/>
      <w:bCs/>
      <w:kern w:val="36"/>
      <w:sz w:val="48"/>
      <w:szCs w:val="48"/>
    </w:rPr>
  </w:style>
  <w:style w:type="paragraph" w:styleId="ListParagraph">
    <w:name w:val="List Paragraph"/>
    <w:basedOn w:val="Normal"/>
    <w:uiPriority w:val="34"/>
    <w:qFormat/>
    <w:rsid w:val="00F5109D"/>
    <w:pPr>
      <w:spacing w:after="160" w:line="252" w:lineRule="auto"/>
      <w:ind w:left="720"/>
      <w:contextualSpacing/>
    </w:pPr>
  </w:style>
  <w:style w:type="character" w:customStyle="1" w:styleId="A12">
    <w:name w:val="A12"/>
    <w:basedOn w:val="DefaultParagraphFont"/>
    <w:uiPriority w:val="99"/>
    <w:rsid w:val="00F5109D"/>
    <w:rPr>
      <w:rFonts w:ascii="Gibson Light" w:hAnsi="Gibson Light" w:hint="default"/>
      <w:b/>
      <w:bCs/>
      <w:color w:val="000000"/>
    </w:rPr>
  </w:style>
  <w:style w:type="character" w:styleId="Hyperlink">
    <w:name w:val="Hyperlink"/>
    <w:basedOn w:val="DefaultParagraphFont"/>
    <w:uiPriority w:val="99"/>
    <w:unhideWhenUsed/>
    <w:rsid w:val="00B87539"/>
    <w:rPr>
      <w:color w:val="0563C1" w:themeColor="hyperlink"/>
      <w:u w:val="single"/>
    </w:rPr>
  </w:style>
  <w:style w:type="paragraph" w:styleId="Title">
    <w:name w:val="Title"/>
    <w:basedOn w:val="Normal"/>
    <w:next w:val="Normal"/>
    <w:link w:val="TitleChar"/>
    <w:uiPriority w:val="10"/>
    <w:qFormat/>
    <w:rsid w:val="00B875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53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93CB0"/>
    <w:rPr>
      <w:sz w:val="16"/>
      <w:szCs w:val="16"/>
    </w:rPr>
  </w:style>
  <w:style w:type="paragraph" w:styleId="CommentText">
    <w:name w:val="annotation text"/>
    <w:basedOn w:val="Normal"/>
    <w:link w:val="CommentTextChar"/>
    <w:uiPriority w:val="99"/>
    <w:semiHidden/>
    <w:unhideWhenUsed/>
    <w:rsid w:val="00993CB0"/>
    <w:rPr>
      <w:sz w:val="20"/>
      <w:szCs w:val="20"/>
    </w:rPr>
  </w:style>
  <w:style w:type="character" w:customStyle="1" w:styleId="CommentTextChar">
    <w:name w:val="Comment Text Char"/>
    <w:basedOn w:val="DefaultParagraphFont"/>
    <w:link w:val="CommentText"/>
    <w:uiPriority w:val="99"/>
    <w:semiHidden/>
    <w:rsid w:val="00993CB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3CB0"/>
    <w:rPr>
      <w:b/>
      <w:bCs/>
    </w:rPr>
  </w:style>
  <w:style w:type="character" w:customStyle="1" w:styleId="CommentSubjectChar">
    <w:name w:val="Comment Subject Char"/>
    <w:basedOn w:val="CommentTextChar"/>
    <w:link w:val="CommentSubject"/>
    <w:uiPriority w:val="99"/>
    <w:semiHidden/>
    <w:rsid w:val="00993CB0"/>
    <w:rPr>
      <w:rFonts w:ascii="Calibri" w:hAnsi="Calibri" w:cs="Times New Roman"/>
      <w:b/>
      <w:bCs/>
      <w:sz w:val="20"/>
      <w:szCs w:val="20"/>
    </w:rPr>
  </w:style>
  <w:style w:type="paragraph" w:styleId="BalloonText">
    <w:name w:val="Balloon Text"/>
    <w:basedOn w:val="Normal"/>
    <w:link w:val="BalloonTextChar"/>
    <w:uiPriority w:val="99"/>
    <w:semiHidden/>
    <w:unhideWhenUsed/>
    <w:rsid w:val="00993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B0"/>
    <w:rPr>
      <w:rFonts w:ascii="Segoe UI" w:hAnsi="Segoe UI" w:cs="Segoe UI"/>
      <w:sz w:val="18"/>
      <w:szCs w:val="18"/>
    </w:rPr>
  </w:style>
  <w:style w:type="character" w:customStyle="1" w:styleId="apple-converted-space">
    <w:name w:val="apple-converted-space"/>
    <w:basedOn w:val="DefaultParagraphFont"/>
    <w:rsid w:val="003662C2"/>
  </w:style>
  <w:style w:type="character" w:styleId="Emphasis">
    <w:name w:val="Emphasis"/>
    <w:basedOn w:val="DefaultParagraphFont"/>
    <w:uiPriority w:val="20"/>
    <w:qFormat/>
    <w:rsid w:val="00366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4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2.aspx?id=3546&amp;menu_id=814" TargetMode="External"/><Relationship Id="rId13" Type="http://schemas.openxmlformats.org/officeDocument/2006/relationships/hyperlink" Target="http://www.policystudies.com/studies/?id=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state.tx.us/index2.aspx?id=3546&amp;menu_id=814" TargetMode="External"/><Relationship Id="rId12" Type="http://schemas.openxmlformats.org/officeDocument/2006/relationships/hyperlink" Target="http://link.springer.com/article/10.1007/s10464-010-930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ls/ba/cp/uclaeval.as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12.wa.us/21stCenturyLearning/pubdocs/14-1167WA21CCLCFinalYear2Report-ed.pdf" TargetMode="External"/><Relationship Id="rId4" Type="http://schemas.openxmlformats.org/officeDocument/2006/relationships/webSettings" Target="webSettings.xml"/><Relationship Id="rId9" Type="http://schemas.openxmlformats.org/officeDocument/2006/relationships/hyperlink" Target="http://www.ride.ri.gov/Portals/0/Uploads/Documents/Students-and-Families-Great-Schools/Educational-Programming/21stCCLCs/RI21CCLC-Evaluation-Descriptive-Report-2014.pdf" TargetMode="External"/><Relationship Id="rId14" Type="http://schemas.openxmlformats.org/officeDocument/2006/relationships/hyperlink" Target="http://afterschoolallianc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General%20Organizational%20Documents\Letterhead\ASA%20Memo%20Sheet%20APRIL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 Memo Sheet APRIL2015</Template>
  <TotalTime>0</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Rinehart</dc:creator>
  <cp:keywords/>
  <dc:description/>
  <cp:lastModifiedBy>AmeriCorps2</cp:lastModifiedBy>
  <cp:revision>2</cp:revision>
  <cp:lastPrinted>2017-03-16T21:09:00Z</cp:lastPrinted>
  <dcterms:created xsi:type="dcterms:W3CDTF">2017-03-20T23:21:00Z</dcterms:created>
  <dcterms:modified xsi:type="dcterms:W3CDTF">2017-03-20T23:21:00Z</dcterms:modified>
</cp:coreProperties>
</file>